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281D" w14:textId="77777777" w:rsidR="00CA5DA7" w:rsidRDefault="00CA5DA7" w:rsidP="00CA5DA7">
      <w:pPr>
        <w:spacing w:line="276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43F9BFFE" w14:textId="77777777" w:rsidR="00CA5DA7" w:rsidRDefault="00CA5DA7" w:rsidP="00CA5DA7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广州商学院2025-2026学年第一学期国际交换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生项目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课程信息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36"/>
        <w:gridCol w:w="1265"/>
        <w:gridCol w:w="5995"/>
      </w:tblGrid>
      <w:tr w:rsidR="00CA5DA7" w14:paraId="0CE9D028" w14:textId="77777777" w:rsidTr="004A1751">
        <w:tc>
          <w:tcPr>
            <w:tcW w:w="1123" w:type="dxa"/>
            <w:vMerge w:val="restart"/>
            <w:textDirection w:val="tbRlV"/>
            <w:vAlign w:val="center"/>
          </w:tcPr>
          <w:p w14:paraId="5F475CFF" w14:textId="77777777" w:rsidR="00CA5DA7" w:rsidRDefault="00CA5DA7" w:rsidP="004A1751">
            <w:pPr>
              <w:ind w:left="113" w:right="113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bookmarkStart w:id="0" w:name="_Hlk195281399"/>
            <w:r>
              <w:rPr>
                <w:rFonts w:asciiTheme="minorEastAsia" w:hAnsiTheme="minorEastAsia" w:hint="eastAsia"/>
                <w:b/>
                <w:bCs/>
                <w:szCs w:val="21"/>
              </w:rPr>
              <w:t>韩国国立江原大学</w:t>
            </w:r>
          </w:p>
        </w:tc>
        <w:tc>
          <w:tcPr>
            <w:tcW w:w="1409" w:type="dxa"/>
          </w:tcPr>
          <w:p w14:paraId="4FC787CA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交换名额</w:t>
            </w:r>
          </w:p>
        </w:tc>
        <w:tc>
          <w:tcPr>
            <w:tcW w:w="6266" w:type="dxa"/>
          </w:tcPr>
          <w:p w14:paraId="34B13277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5人</w:t>
            </w:r>
          </w:p>
        </w:tc>
      </w:tr>
      <w:bookmarkEnd w:id="0"/>
      <w:tr w:rsidR="00CA5DA7" w14:paraId="0810B2FD" w14:textId="77777777" w:rsidTr="004A1751">
        <w:tc>
          <w:tcPr>
            <w:tcW w:w="1123" w:type="dxa"/>
            <w:vMerge/>
          </w:tcPr>
          <w:p w14:paraId="00E3489B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2A650D0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交换时长</w:t>
            </w:r>
          </w:p>
        </w:tc>
        <w:tc>
          <w:tcPr>
            <w:tcW w:w="6266" w:type="dxa"/>
          </w:tcPr>
          <w:p w14:paraId="01B140D4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1个学期（开学时间2025年9月初，具体日程可能会发生变动，如有变动会随时通知）</w:t>
            </w:r>
          </w:p>
        </w:tc>
      </w:tr>
      <w:tr w:rsidR="00CA5DA7" w14:paraId="586FF943" w14:textId="77777777" w:rsidTr="004A1751">
        <w:tc>
          <w:tcPr>
            <w:tcW w:w="1123" w:type="dxa"/>
            <w:vMerge/>
          </w:tcPr>
          <w:p w14:paraId="03AF44F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75F51DD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学习地点</w:t>
            </w:r>
          </w:p>
        </w:tc>
        <w:tc>
          <w:tcPr>
            <w:tcW w:w="6266" w:type="dxa"/>
          </w:tcPr>
          <w:p w14:paraId="57865B78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国立江原大学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全球融合学部，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江原特别自治道春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川市</w:t>
            </w:r>
          </w:p>
        </w:tc>
      </w:tr>
      <w:tr w:rsidR="00CA5DA7" w14:paraId="38A056E7" w14:textId="77777777" w:rsidTr="004A1751">
        <w:tc>
          <w:tcPr>
            <w:tcW w:w="1123" w:type="dxa"/>
            <w:vMerge/>
          </w:tcPr>
          <w:p w14:paraId="5ABA640B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3B9CD8A2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院校介绍</w:t>
            </w:r>
          </w:p>
        </w:tc>
        <w:tc>
          <w:tcPr>
            <w:tcW w:w="6266" w:type="dxa"/>
          </w:tcPr>
          <w:p w14:paraId="0B2F8224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国立江原大学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是一所综合性国立大学，韩国 10 大国立重点大学之一，是中国教育涉外监管网认证学校。该校位于韩国江原道春川市，占地面积为 782,397 平方米，建筑面积为277,275 平方米，在校生 30000 多名，外籍学生近千名，全职教师近千名。有 6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研究生院和 18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学院、63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系。另设两个独立学部和 55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研究所，分为春川和三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陟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两个校区。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江原大学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的建学理念是培养一批以实事求是的精神进行开放性的教育，为地域社会和国家，为人类做出贡献的人才。</w:t>
            </w:r>
          </w:p>
        </w:tc>
      </w:tr>
      <w:tr w:rsidR="00CA5DA7" w14:paraId="45A281E7" w14:textId="77777777" w:rsidTr="004A1751">
        <w:tc>
          <w:tcPr>
            <w:tcW w:w="1123" w:type="dxa"/>
            <w:vMerge/>
          </w:tcPr>
          <w:p w14:paraId="7A329BC1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028E3207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招收专业</w:t>
            </w:r>
          </w:p>
        </w:tc>
        <w:tc>
          <w:tcPr>
            <w:tcW w:w="6266" w:type="dxa"/>
          </w:tcPr>
          <w:p w14:paraId="2421F436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全球媒体传播专业、</w:t>
            </w:r>
            <w:r>
              <w:rPr>
                <w:rFonts w:asciiTheme="minorEastAsia" w:hAnsiTheme="minorEastAsia"/>
                <w:szCs w:val="21"/>
              </w:rPr>
              <w:t>全球商务管理专业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全球公演内容专业</w:t>
            </w:r>
          </w:p>
        </w:tc>
      </w:tr>
      <w:tr w:rsidR="00CA5DA7" w14:paraId="77DB014E" w14:textId="77777777" w:rsidTr="004A1751">
        <w:tc>
          <w:tcPr>
            <w:tcW w:w="1123" w:type="dxa"/>
            <w:vMerge/>
          </w:tcPr>
          <w:p w14:paraId="065E53F0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6BC6C992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授课语言</w:t>
            </w:r>
          </w:p>
        </w:tc>
        <w:tc>
          <w:tcPr>
            <w:tcW w:w="6266" w:type="dxa"/>
          </w:tcPr>
          <w:p w14:paraId="442FC666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中文、英语、韩语三种语言可选</w:t>
            </w:r>
          </w:p>
        </w:tc>
      </w:tr>
      <w:tr w:rsidR="00CA5DA7" w14:paraId="1EF713B0" w14:textId="77777777" w:rsidTr="004A1751">
        <w:tc>
          <w:tcPr>
            <w:tcW w:w="1123" w:type="dxa"/>
            <w:vMerge/>
          </w:tcPr>
          <w:p w14:paraId="27CE0DC4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26F2D892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申请要求</w:t>
            </w:r>
          </w:p>
        </w:tc>
        <w:tc>
          <w:tcPr>
            <w:tcW w:w="6266" w:type="dxa"/>
          </w:tcPr>
          <w:p w14:paraId="4D6B0DA3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对境外学习感兴趣的学生，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选择韩语或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英语授课的，需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提供韩语或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英语能力证明。</w:t>
            </w:r>
          </w:p>
        </w:tc>
      </w:tr>
      <w:tr w:rsidR="00CA5DA7" w14:paraId="1C3DC388" w14:textId="77777777" w:rsidTr="004A1751">
        <w:tc>
          <w:tcPr>
            <w:tcW w:w="1123" w:type="dxa"/>
            <w:vMerge/>
          </w:tcPr>
          <w:p w14:paraId="07BB08E1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2D504D39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费用情况</w:t>
            </w:r>
          </w:p>
        </w:tc>
        <w:tc>
          <w:tcPr>
            <w:tcW w:w="6266" w:type="dxa"/>
          </w:tcPr>
          <w:p w14:paraId="7CAF40FF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bookmarkStart w:id="1" w:name="OLE_LINK9"/>
            <w:r>
              <w:rPr>
                <w:rFonts w:asciiTheme="minorEastAsia" w:hAnsiTheme="minorEastAsia" w:hint="eastAsia"/>
                <w:szCs w:val="21"/>
              </w:rPr>
              <w:t>免学费（住宿、生活费、保险、书本及签证等费用自理</w:t>
            </w:r>
            <w:bookmarkEnd w:id="1"/>
            <w:r>
              <w:rPr>
                <w:rFonts w:asciiTheme="minorEastAsia" w:hAnsiTheme="minorEastAsia" w:hint="eastAsia"/>
                <w:szCs w:val="21"/>
              </w:rPr>
              <w:t>）。</w:t>
            </w:r>
          </w:p>
          <w:p w14:paraId="6A5D66CD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学校可安排公寓或宿舍，视住宿条件不同，费用约为2485-3850人民币/学期。</w:t>
            </w:r>
          </w:p>
        </w:tc>
      </w:tr>
      <w:tr w:rsidR="00CA5DA7" w14:paraId="576FC770" w14:textId="77777777" w:rsidTr="004A1751">
        <w:tc>
          <w:tcPr>
            <w:tcW w:w="1123" w:type="dxa"/>
            <w:vMerge/>
          </w:tcPr>
          <w:p w14:paraId="0882F1F4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2288E44D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院校主页</w:t>
            </w:r>
          </w:p>
        </w:tc>
        <w:tc>
          <w:tcPr>
            <w:tcW w:w="6266" w:type="dxa"/>
          </w:tcPr>
          <w:p w14:paraId="78AB1C76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https://globalconvergence.kangwon.ac.kr/</w:t>
            </w:r>
          </w:p>
        </w:tc>
      </w:tr>
      <w:tr w:rsidR="00CA5DA7" w14:paraId="59BA4BEC" w14:textId="77777777" w:rsidTr="004A1751">
        <w:tc>
          <w:tcPr>
            <w:tcW w:w="1123" w:type="dxa"/>
            <w:vMerge w:val="restart"/>
            <w:textDirection w:val="tbRlV"/>
            <w:vAlign w:val="center"/>
          </w:tcPr>
          <w:p w14:paraId="7642F52B" w14:textId="77777777" w:rsidR="00CA5DA7" w:rsidRDefault="00CA5DA7" w:rsidP="004A1751">
            <w:pPr>
              <w:ind w:left="113" w:right="113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泰国玛希隆大学</w:t>
            </w:r>
          </w:p>
        </w:tc>
        <w:tc>
          <w:tcPr>
            <w:tcW w:w="1409" w:type="dxa"/>
          </w:tcPr>
          <w:p w14:paraId="01C45887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交换名额</w:t>
            </w:r>
          </w:p>
        </w:tc>
        <w:tc>
          <w:tcPr>
            <w:tcW w:w="6266" w:type="dxa"/>
          </w:tcPr>
          <w:p w14:paraId="6484E7B7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5人</w:t>
            </w:r>
          </w:p>
        </w:tc>
      </w:tr>
      <w:tr w:rsidR="00CA5DA7" w14:paraId="73FD66E2" w14:textId="77777777" w:rsidTr="004A1751">
        <w:tc>
          <w:tcPr>
            <w:tcW w:w="1123" w:type="dxa"/>
            <w:vMerge/>
          </w:tcPr>
          <w:p w14:paraId="5AFF718D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14B41FBE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交换时长</w:t>
            </w:r>
          </w:p>
        </w:tc>
        <w:tc>
          <w:tcPr>
            <w:tcW w:w="6266" w:type="dxa"/>
          </w:tcPr>
          <w:p w14:paraId="5D32769E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1个学期（预计时间2025年8月初-12月中，具体日程可能会发生变动，如有变动会随时通知）</w:t>
            </w:r>
          </w:p>
        </w:tc>
      </w:tr>
      <w:tr w:rsidR="00CA5DA7" w14:paraId="5A8B3A6B" w14:textId="77777777" w:rsidTr="004A1751">
        <w:tc>
          <w:tcPr>
            <w:tcW w:w="1123" w:type="dxa"/>
            <w:vMerge/>
          </w:tcPr>
          <w:p w14:paraId="5B60E3FC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2F172C5D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学习地点</w:t>
            </w:r>
          </w:p>
        </w:tc>
        <w:tc>
          <w:tcPr>
            <w:tcW w:w="6266" w:type="dxa"/>
          </w:tcPr>
          <w:p w14:paraId="270DC241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玛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希隆大学人文学院（MULA），999 Salaya,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Phutthamonthon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,</w:t>
            </w:r>
          </w:p>
          <w:p w14:paraId="55E2029E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Nakhon Pathom 73170, THAILAND</w:t>
            </w:r>
          </w:p>
        </w:tc>
      </w:tr>
      <w:tr w:rsidR="00CA5DA7" w14:paraId="36378DEC" w14:textId="77777777" w:rsidTr="004A1751">
        <w:tc>
          <w:tcPr>
            <w:tcW w:w="1123" w:type="dxa"/>
            <w:vMerge/>
          </w:tcPr>
          <w:p w14:paraId="2A4CFE9A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66D02AB7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院校介绍</w:t>
            </w:r>
          </w:p>
        </w:tc>
        <w:tc>
          <w:tcPr>
            <w:tcW w:w="6266" w:type="dxa"/>
          </w:tcPr>
          <w:p w14:paraId="5B03A757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泰国玛希隆大学（Mahidol University）是泰国最古老的高等教育机构，位于曼谷，始建于1888年，前身为诗里拉皇家医学院。1969年以“泰国现代医学之父”玛希敦·阿杜德王子命名，现为综合性研究型大学。该大学2024年QS世界排名第382位，泰国QS排名第二。学校设有3个附属医院，14个系，7个研究所，6个学院以及多个国际学术研究中心。该校授予3个专业高等进修结业证书，10个专业学士学位，51个专业硕士学位和28个专业博士学位，全校共有19,903名教职工，其中教授125名，副教授755人，助理教授845人，讲师973人，在校学生近2万人，其中包括来自30多个国家的海外留学生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玛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希隆大学已发展为泰国最负盛誉的大学之一，其科研能力、教职员工的学术才能以及在教学、研究、国际学术合作和专业服务领域的突出成就都是举世闻名的。</w:t>
            </w:r>
          </w:p>
        </w:tc>
      </w:tr>
      <w:tr w:rsidR="00CA5DA7" w14:paraId="46D9942F" w14:textId="77777777" w:rsidTr="004A1751">
        <w:tc>
          <w:tcPr>
            <w:tcW w:w="1123" w:type="dxa"/>
            <w:vMerge/>
          </w:tcPr>
          <w:p w14:paraId="0C4C5DFF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68BEA92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招收专业</w:t>
            </w:r>
          </w:p>
        </w:tc>
        <w:tc>
          <w:tcPr>
            <w:tcW w:w="6266" w:type="dxa"/>
          </w:tcPr>
          <w:p w14:paraId="756BE268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英语语言专业、泰语专业</w:t>
            </w:r>
          </w:p>
        </w:tc>
      </w:tr>
      <w:tr w:rsidR="00CA5DA7" w14:paraId="1043418A" w14:textId="77777777" w:rsidTr="004A1751">
        <w:tc>
          <w:tcPr>
            <w:tcW w:w="1123" w:type="dxa"/>
            <w:vMerge/>
          </w:tcPr>
          <w:p w14:paraId="2416B833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16A5504D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授课语言</w:t>
            </w:r>
          </w:p>
        </w:tc>
        <w:tc>
          <w:tcPr>
            <w:tcW w:w="6266" w:type="dxa"/>
          </w:tcPr>
          <w:p w14:paraId="5F06504B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英语、泰语两种语言可选</w:t>
            </w:r>
          </w:p>
        </w:tc>
      </w:tr>
      <w:tr w:rsidR="00CA5DA7" w14:paraId="66C75052" w14:textId="77777777" w:rsidTr="004A1751">
        <w:tc>
          <w:tcPr>
            <w:tcW w:w="1123" w:type="dxa"/>
            <w:vMerge/>
          </w:tcPr>
          <w:p w14:paraId="7F35FB02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54EB7E8D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申请要求</w:t>
            </w:r>
          </w:p>
        </w:tc>
        <w:tc>
          <w:tcPr>
            <w:tcW w:w="6266" w:type="dxa"/>
          </w:tcPr>
          <w:p w14:paraId="6962C6C1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1.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平均绩点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(GPA) 为 2.5 或以上（满分 4.0）。</w:t>
            </w:r>
          </w:p>
          <w:p w14:paraId="0D6FCAA9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 至少一年正规泰语学习或在本校就读泰语专业（针对有意攻读泰语专业的学生）。</w:t>
            </w:r>
          </w:p>
          <w:p w14:paraId="14BE6221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3.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雅思成绩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5.5分、托福成绩68分或以上，或其他同等语言成绩（针对有意攻读英语专业的学生）。</w:t>
            </w:r>
          </w:p>
        </w:tc>
      </w:tr>
      <w:tr w:rsidR="00CA5DA7" w14:paraId="522FE81F" w14:textId="77777777" w:rsidTr="004A1751">
        <w:tc>
          <w:tcPr>
            <w:tcW w:w="1123" w:type="dxa"/>
            <w:vMerge/>
          </w:tcPr>
          <w:p w14:paraId="07614CCF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3ACC4DB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费用情况</w:t>
            </w:r>
          </w:p>
        </w:tc>
        <w:tc>
          <w:tcPr>
            <w:tcW w:w="6266" w:type="dxa"/>
          </w:tcPr>
          <w:p w14:paraId="4ACDEE8C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免学费，（住宿、生活费、保险、书本及签证等费用自理）。</w:t>
            </w:r>
          </w:p>
          <w:p w14:paraId="594549DF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bookmarkStart w:id="2" w:name="OLE_LINK11"/>
            <w:r>
              <w:rPr>
                <w:rFonts w:asciiTheme="minorEastAsia" w:hAnsiTheme="minorEastAsia" w:hint="eastAsia"/>
                <w:szCs w:val="21"/>
              </w:rPr>
              <w:t>学校可安排公寓或宿舍，视住宿条件不同，费用约为</w:t>
            </w:r>
            <w:bookmarkEnd w:id="2"/>
            <w:r>
              <w:rPr>
                <w:rFonts w:asciiTheme="minorEastAsia" w:hAnsiTheme="minorEastAsia" w:hint="eastAsia"/>
                <w:szCs w:val="21"/>
              </w:rPr>
              <w:t>1500-3300人民币/月。</w:t>
            </w:r>
          </w:p>
        </w:tc>
      </w:tr>
      <w:tr w:rsidR="00CA5DA7" w14:paraId="01A2B0C1" w14:textId="77777777" w:rsidTr="004A1751">
        <w:tc>
          <w:tcPr>
            <w:tcW w:w="1123" w:type="dxa"/>
            <w:vMerge/>
          </w:tcPr>
          <w:p w14:paraId="12E8CD9F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082516DF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院校主页</w:t>
            </w:r>
          </w:p>
        </w:tc>
        <w:tc>
          <w:tcPr>
            <w:tcW w:w="6266" w:type="dxa"/>
          </w:tcPr>
          <w:p w14:paraId="11EB0EC7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https://la.mahidol.ac.th/</w:t>
            </w:r>
          </w:p>
        </w:tc>
      </w:tr>
      <w:tr w:rsidR="00CA5DA7" w14:paraId="7785190F" w14:textId="77777777" w:rsidTr="004A1751">
        <w:tc>
          <w:tcPr>
            <w:tcW w:w="1123" w:type="dxa"/>
            <w:vMerge w:val="restart"/>
            <w:textDirection w:val="tbRlV"/>
            <w:vAlign w:val="center"/>
          </w:tcPr>
          <w:p w14:paraId="59638207" w14:textId="77777777" w:rsidR="00CA5DA7" w:rsidRDefault="00CA5DA7" w:rsidP="004A1751">
            <w:pPr>
              <w:ind w:left="113" w:right="113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越南商业大学</w:t>
            </w:r>
          </w:p>
        </w:tc>
        <w:tc>
          <w:tcPr>
            <w:tcW w:w="1409" w:type="dxa"/>
          </w:tcPr>
          <w:p w14:paraId="59801CEF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bookmarkStart w:id="3" w:name="OLE_LINK10"/>
            <w:r>
              <w:rPr>
                <w:rFonts w:asciiTheme="minorEastAsia" w:hAnsiTheme="minorEastAsia" w:hint="eastAsia"/>
                <w:b/>
                <w:bCs/>
                <w:szCs w:val="21"/>
              </w:rPr>
              <w:t>交换名额</w:t>
            </w:r>
            <w:bookmarkEnd w:id="3"/>
          </w:p>
        </w:tc>
        <w:tc>
          <w:tcPr>
            <w:tcW w:w="6266" w:type="dxa"/>
          </w:tcPr>
          <w:p w14:paraId="22E2F2B0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5人</w:t>
            </w:r>
          </w:p>
        </w:tc>
      </w:tr>
      <w:tr w:rsidR="00CA5DA7" w14:paraId="0439B171" w14:textId="77777777" w:rsidTr="004A1751">
        <w:tc>
          <w:tcPr>
            <w:tcW w:w="1123" w:type="dxa"/>
            <w:vMerge/>
          </w:tcPr>
          <w:p w14:paraId="481F4D7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73EB68D4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交换时长</w:t>
            </w:r>
          </w:p>
        </w:tc>
        <w:tc>
          <w:tcPr>
            <w:tcW w:w="6266" w:type="dxa"/>
          </w:tcPr>
          <w:p w14:paraId="2921795D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1个学期（预计时间2025年8月初-12月初，具体日程可能会发生变动，如有变动会随时通知）</w:t>
            </w:r>
          </w:p>
        </w:tc>
      </w:tr>
      <w:tr w:rsidR="00CA5DA7" w14:paraId="64973E61" w14:textId="77777777" w:rsidTr="004A1751">
        <w:tc>
          <w:tcPr>
            <w:tcW w:w="1123" w:type="dxa"/>
            <w:vMerge/>
          </w:tcPr>
          <w:p w14:paraId="3458E88F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51DE8BBE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学习地点</w:t>
            </w:r>
          </w:p>
        </w:tc>
        <w:tc>
          <w:tcPr>
            <w:tcW w:w="6266" w:type="dxa"/>
          </w:tcPr>
          <w:p w14:paraId="61A3D109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越南商业大学，79 D. Ho Tung Mau, Mai Dich, Cau Giay, Hanoi, Vietnam</w:t>
            </w:r>
          </w:p>
        </w:tc>
      </w:tr>
      <w:tr w:rsidR="00CA5DA7" w14:paraId="34F4AAA2" w14:textId="77777777" w:rsidTr="004A1751">
        <w:tc>
          <w:tcPr>
            <w:tcW w:w="1123" w:type="dxa"/>
            <w:vMerge/>
          </w:tcPr>
          <w:p w14:paraId="1940EF99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6B348AAF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院校介绍</w:t>
            </w:r>
          </w:p>
        </w:tc>
        <w:tc>
          <w:tcPr>
            <w:tcW w:w="6266" w:type="dxa"/>
          </w:tcPr>
          <w:p w14:paraId="59B94E10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越南商业大学是一所公办院校，越南最负盛名的高等学府之一，拥有悠久的办学历史和卓越的学术声誉。该校以</w:t>
            </w:r>
            <w:r>
              <w:rPr>
                <w:rFonts w:ascii="等线" w:eastAsia="等线" w:hAnsi="等线" w:cs="等线" w:hint="eastAsia"/>
                <w:szCs w:val="21"/>
              </w:rPr>
              <w:t>教育政策创新、</w:t>
            </w:r>
            <w:r>
              <w:rPr>
                <w:rFonts w:ascii="Times New Roman" w:hAnsi="Times New Roman" w:cs="Times New Roman"/>
                <w:szCs w:val="21"/>
              </w:rPr>
              <w:t>​​</w:t>
            </w:r>
            <w:r>
              <w:rPr>
                <w:rFonts w:ascii="等线" w:eastAsia="等线" w:hAnsi="等线" w:cs="等线" w:hint="eastAsia"/>
                <w:szCs w:val="21"/>
              </w:rPr>
              <w:t>国际化发展和科研影响力著称，尤其在电子商务、供应链管理、金融与商科等领域成果斐然。</w:t>
            </w:r>
            <w:r>
              <w:rPr>
                <w:rFonts w:asciiTheme="minorEastAsia" w:hAnsiTheme="minorEastAsia" w:hint="eastAsia"/>
                <w:szCs w:val="21"/>
              </w:rPr>
              <w:t>作为一所</w:t>
            </w:r>
            <w:r>
              <w:rPr>
                <w:rFonts w:ascii="等线" w:eastAsia="等线" w:hAnsi="等线" w:cs="等线" w:hint="eastAsia"/>
                <w:szCs w:val="21"/>
              </w:rPr>
              <w:t>以学生为中心</w:t>
            </w:r>
            <w:r>
              <w:rPr>
                <w:rFonts w:ascii="Times New Roman" w:hAnsi="Times New Roman" w:cs="Times New Roman"/>
                <w:szCs w:val="21"/>
              </w:rPr>
              <w:t>​​</w:t>
            </w:r>
            <w:r>
              <w:rPr>
                <w:rFonts w:ascii="等线" w:eastAsia="等线" w:hAnsi="等线" w:cs="等线" w:hint="eastAsia"/>
                <w:szCs w:val="21"/>
              </w:rPr>
              <w:t>的高校，商业大学为本土及国际学生提供多元化的学习环境，致力于培养获得全球认可的专业人才。该校经越南</w:t>
            </w:r>
            <w:r>
              <w:rPr>
                <w:rFonts w:ascii="Times New Roman" w:hAnsi="Times New Roman" w:cs="Times New Roman"/>
                <w:szCs w:val="21"/>
              </w:rPr>
              <w:t>​​</w:t>
            </w:r>
            <w:r>
              <w:rPr>
                <w:rFonts w:ascii="等线" w:eastAsia="等线" w:hAnsi="等线" w:cs="等线" w:hint="eastAsia"/>
                <w:szCs w:val="21"/>
              </w:rPr>
              <w:t>教育与培训部（</w:t>
            </w:r>
            <w:r>
              <w:rPr>
                <w:rFonts w:asciiTheme="minorEastAsia" w:hAnsiTheme="minorEastAsia"/>
                <w:szCs w:val="21"/>
              </w:rPr>
              <w:t>MOET）</w:t>
            </w:r>
            <w:r>
              <w:rPr>
                <w:rFonts w:ascii="Times New Roman" w:hAnsi="Times New Roman" w:cs="Times New Roman"/>
                <w:szCs w:val="21"/>
              </w:rPr>
              <w:t>​​</w:t>
            </w:r>
            <w:r>
              <w:rPr>
                <w:rFonts w:asciiTheme="minorEastAsia" w:hAnsiTheme="minorEastAsia"/>
                <w:szCs w:val="21"/>
              </w:rPr>
              <w:t>正式认证，享有完全自主办学权，所有学位课程均通过国家100%教育质量认证。</w:t>
            </w:r>
          </w:p>
        </w:tc>
      </w:tr>
      <w:tr w:rsidR="00CA5DA7" w14:paraId="34843C5C" w14:textId="77777777" w:rsidTr="004A1751">
        <w:tc>
          <w:tcPr>
            <w:tcW w:w="1123" w:type="dxa"/>
            <w:vMerge/>
          </w:tcPr>
          <w:p w14:paraId="2942D521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03F72962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招收专业</w:t>
            </w:r>
          </w:p>
        </w:tc>
        <w:tc>
          <w:tcPr>
            <w:tcW w:w="6266" w:type="dxa"/>
          </w:tcPr>
          <w:p w14:paraId="3BFB58A3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会计、工商管理、银行与金融、市场营销、国际商务、旅游与酒店、物流与供应链管理等专业</w:t>
            </w:r>
          </w:p>
        </w:tc>
      </w:tr>
      <w:tr w:rsidR="00CA5DA7" w14:paraId="7FCC21D7" w14:textId="77777777" w:rsidTr="004A1751">
        <w:tc>
          <w:tcPr>
            <w:tcW w:w="1123" w:type="dxa"/>
            <w:vMerge/>
          </w:tcPr>
          <w:p w14:paraId="500C526A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03C280CE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授课语言</w:t>
            </w:r>
          </w:p>
        </w:tc>
        <w:tc>
          <w:tcPr>
            <w:tcW w:w="6266" w:type="dxa"/>
          </w:tcPr>
          <w:p w14:paraId="57D41F93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英语、越南语</w:t>
            </w:r>
          </w:p>
        </w:tc>
      </w:tr>
      <w:tr w:rsidR="00CA5DA7" w14:paraId="17C4BF4B" w14:textId="77777777" w:rsidTr="004A1751">
        <w:tc>
          <w:tcPr>
            <w:tcW w:w="1123" w:type="dxa"/>
            <w:vMerge/>
          </w:tcPr>
          <w:p w14:paraId="553B345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5B538B33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申请要求</w:t>
            </w:r>
          </w:p>
        </w:tc>
        <w:tc>
          <w:tcPr>
            <w:tcW w:w="6266" w:type="dxa"/>
          </w:tcPr>
          <w:p w14:paraId="2F101A11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雅思成绩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5.5分、托福成绩65分或以上；母语是英语或者有两年大学水平的英语课程，可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免除此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要求。</w:t>
            </w:r>
          </w:p>
        </w:tc>
      </w:tr>
      <w:tr w:rsidR="00CA5DA7" w14:paraId="5E69EB58" w14:textId="77777777" w:rsidTr="004A1751">
        <w:tc>
          <w:tcPr>
            <w:tcW w:w="1123" w:type="dxa"/>
            <w:vMerge/>
          </w:tcPr>
          <w:p w14:paraId="71EB4DCD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6B149C18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费用情况</w:t>
            </w:r>
          </w:p>
        </w:tc>
        <w:tc>
          <w:tcPr>
            <w:tcW w:w="6266" w:type="dxa"/>
          </w:tcPr>
          <w:p w14:paraId="10B530D8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免学费，（住宿、生活费、保险、书本及签证等费用自理）。</w:t>
            </w:r>
          </w:p>
          <w:p w14:paraId="121F8625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学校可安排公寓或宿舍，视住宿条件不同，费用约为300-1200人民币/月。</w:t>
            </w:r>
          </w:p>
        </w:tc>
      </w:tr>
      <w:tr w:rsidR="00CA5DA7" w14:paraId="62CF9CE1" w14:textId="77777777" w:rsidTr="004A1751">
        <w:tc>
          <w:tcPr>
            <w:tcW w:w="1123" w:type="dxa"/>
            <w:vMerge/>
          </w:tcPr>
          <w:p w14:paraId="207667C3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797760AE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院校主页</w:t>
            </w:r>
          </w:p>
        </w:tc>
        <w:tc>
          <w:tcPr>
            <w:tcW w:w="6266" w:type="dxa"/>
          </w:tcPr>
          <w:p w14:paraId="73C4DFEE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https://tmu.edu.vn/</w:t>
            </w:r>
          </w:p>
        </w:tc>
      </w:tr>
      <w:tr w:rsidR="00CA5DA7" w14:paraId="0B905A0A" w14:textId="77777777" w:rsidTr="004A1751">
        <w:tc>
          <w:tcPr>
            <w:tcW w:w="1123" w:type="dxa"/>
            <w:vMerge w:val="restart"/>
            <w:textDirection w:val="tbRlV"/>
            <w:vAlign w:val="center"/>
          </w:tcPr>
          <w:p w14:paraId="51C24179" w14:textId="77777777" w:rsidR="00CA5DA7" w:rsidRDefault="00CA5DA7" w:rsidP="004A1751">
            <w:pPr>
              <w:ind w:left="113" w:right="113"/>
              <w:jc w:val="center"/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越南雒鸿大学</w:t>
            </w:r>
          </w:p>
        </w:tc>
        <w:tc>
          <w:tcPr>
            <w:tcW w:w="1409" w:type="dxa"/>
          </w:tcPr>
          <w:p w14:paraId="2456A1B7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交换名额</w:t>
            </w:r>
          </w:p>
        </w:tc>
        <w:tc>
          <w:tcPr>
            <w:tcW w:w="6266" w:type="dxa"/>
          </w:tcPr>
          <w:p w14:paraId="2A86AC65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3—5人</w:t>
            </w:r>
          </w:p>
        </w:tc>
      </w:tr>
      <w:tr w:rsidR="00CA5DA7" w14:paraId="3D0F068C" w14:textId="77777777" w:rsidTr="004A1751">
        <w:tc>
          <w:tcPr>
            <w:tcW w:w="1123" w:type="dxa"/>
            <w:vMerge/>
          </w:tcPr>
          <w:p w14:paraId="3BDADFB7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56C53E27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交换时长</w:t>
            </w:r>
          </w:p>
        </w:tc>
        <w:tc>
          <w:tcPr>
            <w:tcW w:w="6266" w:type="dxa"/>
          </w:tcPr>
          <w:p w14:paraId="67EE53BA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1个学期（预计2025年8月10日至12月25日，</w:t>
            </w:r>
            <w:bookmarkStart w:id="4" w:name="OLE_LINK1"/>
            <w:r>
              <w:rPr>
                <w:rFonts w:asciiTheme="minorEastAsia" w:hAnsiTheme="minorEastAsia" w:hint="eastAsia"/>
                <w:szCs w:val="21"/>
              </w:rPr>
              <w:t>具体日程可能会发生变动，如有变动会随时通知</w:t>
            </w:r>
            <w:bookmarkEnd w:id="4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A5DA7" w14:paraId="3D2FFA51" w14:textId="77777777" w:rsidTr="004A1751">
        <w:tc>
          <w:tcPr>
            <w:tcW w:w="1123" w:type="dxa"/>
            <w:vMerge/>
          </w:tcPr>
          <w:p w14:paraId="047B0BFE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7F87CEA9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学习地点</w:t>
            </w:r>
          </w:p>
        </w:tc>
        <w:tc>
          <w:tcPr>
            <w:tcW w:w="6266" w:type="dxa"/>
          </w:tcPr>
          <w:p w14:paraId="18101CDD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越南雒鸿大学，</w:t>
            </w:r>
            <w:r>
              <w:rPr>
                <w:rFonts w:asciiTheme="minorEastAsia" w:hAnsiTheme="minorEastAsia"/>
                <w:szCs w:val="21"/>
              </w:rPr>
              <w:t>10 Huynh Van Nghe, Buu Long, Bien Hoa, Dong Nai, Vietnam</w:t>
            </w:r>
          </w:p>
        </w:tc>
      </w:tr>
      <w:tr w:rsidR="00CA5DA7" w14:paraId="14981CCC" w14:textId="77777777" w:rsidTr="004A1751">
        <w:tc>
          <w:tcPr>
            <w:tcW w:w="1123" w:type="dxa"/>
            <w:vMerge/>
          </w:tcPr>
          <w:p w14:paraId="74A2B97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21B1BB03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院校介绍</w:t>
            </w:r>
          </w:p>
        </w:tc>
        <w:tc>
          <w:tcPr>
            <w:tcW w:w="6266" w:type="dxa"/>
          </w:tcPr>
          <w:p w14:paraId="3A601F28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雒鸿大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学成立于1997年，位于胡志明市东方三十公里的同奈省省会边和市，目前</w:t>
            </w:r>
            <w:proofErr w:type="gramStart"/>
            <w:r>
              <w:rPr>
                <w:rFonts w:asciiTheme="minorEastAsia" w:hAnsiTheme="minorEastAsia"/>
                <w:szCs w:val="21"/>
              </w:rPr>
              <w:t>雒鸿大学</w:t>
            </w:r>
            <w:proofErr w:type="gramEnd"/>
            <w:r>
              <w:rPr>
                <w:rFonts w:asciiTheme="minorEastAsia" w:hAnsiTheme="minorEastAsia"/>
                <w:szCs w:val="21"/>
              </w:rPr>
              <w:t>共有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个学院，在校生</w:t>
            </w:r>
            <w:r>
              <w:rPr>
                <w:rFonts w:asciiTheme="minorEastAsia" w:hAnsiTheme="minorEastAsia" w:hint="eastAsia"/>
                <w:szCs w:val="21"/>
              </w:rPr>
              <w:t>近10</w:t>
            </w:r>
            <w:r>
              <w:rPr>
                <w:rFonts w:asciiTheme="minorEastAsia" w:hAnsiTheme="minorEastAsia"/>
                <w:szCs w:val="21"/>
              </w:rPr>
              <w:t>000人</w:t>
            </w:r>
            <w:r>
              <w:rPr>
                <w:rFonts w:asciiTheme="minorEastAsia" w:hAnsiTheme="minorEastAsia" w:hint="eastAsia"/>
                <w:szCs w:val="21"/>
              </w:rPr>
              <w:t>，是越南南方知名的私立综合性大学。学校注重学术与实践结合，开设了文、理、工、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等多个学科，致力于培养技术型人才。近年来，该校积极参与中国相关机构主办的学术和文化交流活动，在对华合作方面成果显著，与多所中国高校建立了稳定的合作关系。</w:t>
            </w:r>
          </w:p>
        </w:tc>
      </w:tr>
      <w:tr w:rsidR="00CA5DA7" w14:paraId="24D5DC45" w14:textId="77777777" w:rsidTr="004A1751">
        <w:tc>
          <w:tcPr>
            <w:tcW w:w="1123" w:type="dxa"/>
            <w:vMerge/>
          </w:tcPr>
          <w:p w14:paraId="2A957ABA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43920963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招收专业</w:t>
            </w:r>
          </w:p>
        </w:tc>
        <w:tc>
          <w:tcPr>
            <w:tcW w:w="6266" w:type="dxa"/>
          </w:tcPr>
          <w:p w14:paraId="547EF04F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专业不限，对越南语感兴趣的学生</w:t>
            </w:r>
          </w:p>
        </w:tc>
      </w:tr>
      <w:tr w:rsidR="00CA5DA7" w14:paraId="0CB83155" w14:textId="77777777" w:rsidTr="004A1751">
        <w:tc>
          <w:tcPr>
            <w:tcW w:w="1123" w:type="dxa"/>
            <w:vMerge/>
          </w:tcPr>
          <w:p w14:paraId="3B70072D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53D02775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授课语言</w:t>
            </w:r>
          </w:p>
        </w:tc>
        <w:tc>
          <w:tcPr>
            <w:tcW w:w="6266" w:type="dxa"/>
          </w:tcPr>
          <w:p w14:paraId="738692BC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越南语（零基础可学，前期中文和英语辅助授课）</w:t>
            </w:r>
          </w:p>
        </w:tc>
      </w:tr>
      <w:tr w:rsidR="00CA5DA7" w14:paraId="6DE4E124" w14:textId="77777777" w:rsidTr="004A1751">
        <w:tc>
          <w:tcPr>
            <w:tcW w:w="1123" w:type="dxa"/>
            <w:vMerge/>
          </w:tcPr>
          <w:p w14:paraId="11494740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433F0CA9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申请要求</w:t>
            </w:r>
          </w:p>
        </w:tc>
        <w:tc>
          <w:tcPr>
            <w:tcW w:w="6266" w:type="dxa"/>
          </w:tcPr>
          <w:p w14:paraId="64D581E3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对越南语感兴趣的学生，需提供英语能力证明。</w:t>
            </w:r>
          </w:p>
        </w:tc>
      </w:tr>
      <w:tr w:rsidR="00CA5DA7" w14:paraId="076CBC63" w14:textId="77777777" w:rsidTr="004A1751">
        <w:tc>
          <w:tcPr>
            <w:tcW w:w="1123" w:type="dxa"/>
            <w:vMerge/>
          </w:tcPr>
          <w:p w14:paraId="009E0FB4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</w:tc>
        <w:tc>
          <w:tcPr>
            <w:tcW w:w="1409" w:type="dxa"/>
          </w:tcPr>
          <w:p w14:paraId="4ACD15FA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费用情况</w:t>
            </w:r>
          </w:p>
        </w:tc>
        <w:tc>
          <w:tcPr>
            <w:tcW w:w="6266" w:type="dxa"/>
          </w:tcPr>
          <w:p w14:paraId="38D0EA65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免学费，（住宿、生活费、保险、书本及签证等费用自理）。</w:t>
            </w:r>
          </w:p>
          <w:p w14:paraId="41BCEA13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学校可安排公寓或宿舍，视住宿条件不同，宿舍费用约为180-240人民币/月，公寓费用约为750-1100人民币/月。</w:t>
            </w:r>
          </w:p>
        </w:tc>
      </w:tr>
      <w:tr w:rsidR="00CA5DA7" w14:paraId="57A4FF66" w14:textId="77777777" w:rsidTr="004A1751">
        <w:trPr>
          <w:trHeight w:val="90"/>
        </w:trPr>
        <w:tc>
          <w:tcPr>
            <w:tcW w:w="1123" w:type="dxa"/>
            <w:vMerge/>
          </w:tcPr>
          <w:p w14:paraId="7183E180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09" w:type="dxa"/>
          </w:tcPr>
          <w:p w14:paraId="6B6EECE6" w14:textId="77777777" w:rsidR="00CA5DA7" w:rsidRDefault="00CA5DA7" w:rsidP="004A1751">
            <w:pPr>
              <w:rPr>
                <w:rFonts w:asciiTheme="minorEastAsia" w:hAnsiTheme="minorEastAsia" w:hint="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院校主页</w:t>
            </w:r>
          </w:p>
        </w:tc>
        <w:tc>
          <w:tcPr>
            <w:tcW w:w="6266" w:type="dxa"/>
          </w:tcPr>
          <w:p w14:paraId="19832812" w14:textId="77777777" w:rsidR="00CA5DA7" w:rsidRDefault="00CA5DA7" w:rsidP="004A175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http://en.lhu.edu.vn/</w:t>
            </w:r>
          </w:p>
        </w:tc>
      </w:tr>
    </w:tbl>
    <w:p w14:paraId="6323A990" w14:textId="77777777" w:rsidR="008F7046" w:rsidRPr="00CA5DA7" w:rsidRDefault="008F7046"/>
    <w:sectPr w:rsidR="008F7046" w:rsidRPr="00CA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3407" w14:textId="77777777" w:rsidR="00695AF1" w:rsidRDefault="00695AF1" w:rsidP="00CA5DA7">
      <w:r>
        <w:separator/>
      </w:r>
    </w:p>
  </w:endnote>
  <w:endnote w:type="continuationSeparator" w:id="0">
    <w:p w14:paraId="3B525532" w14:textId="77777777" w:rsidR="00695AF1" w:rsidRDefault="00695AF1" w:rsidP="00CA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ACDD" w14:textId="77777777" w:rsidR="00695AF1" w:rsidRDefault="00695AF1" w:rsidP="00CA5DA7">
      <w:r>
        <w:separator/>
      </w:r>
    </w:p>
  </w:footnote>
  <w:footnote w:type="continuationSeparator" w:id="0">
    <w:p w14:paraId="01B41D7E" w14:textId="77777777" w:rsidR="00695AF1" w:rsidRDefault="00695AF1" w:rsidP="00CA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38"/>
    <w:rsid w:val="00187F5E"/>
    <w:rsid w:val="002C5838"/>
    <w:rsid w:val="002D6DE9"/>
    <w:rsid w:val="00695AF1"/>
    <w:rsid w:val="00762D60"/>
    <w:rsid w:val="007B5751"/>
    <w:rsid w:val="008F7046"/>
    <w:rsid w:val="00BA7FB3"/>
    <w:rsid w:val="00C20708"/>
    <w:rsid w:val="00C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272F9"/>
  <w15:chartTrackingRefBased/>
  <w15:docId w15:val="{C4C21B39-9940-44FC-B612-AB506E0C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A7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C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38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38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38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38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38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3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3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3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583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2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2C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38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2C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38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2C583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2C583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C583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5D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f">
    <w:name w:val="页眉 字符"/>
    <w:basedOn w:val="a0"/>
    <w:link w:val="ae"/>
    <w:uiPriority w:val="99"/>
    <w:rsid w:val="00CA5D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rsid w:val="00CA5DA7"/>
    <w:rPr>
      <w:sz w:val="18"/>
      <w:szCs w:val="18"/>
    </w:rPr>
  </w:style>
  <w:style w:type="table" w:styleId="af2">
    <w:name w:val="Table Grid"/>
    <w:basedOn w:val="a1"/>
    <w:uiPriority w:val="39"/>
    <w:qFormat/>
    <w:rsid w:val="00CA5DA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365VIP</dc:creator>
  <cp:keywords/>
  <dc:description/>
  <cp:lastModifiedBy>365VIP</cp:lastModifiedBy>
  <cp:revision>2</cp:revision>
  <dcterms:created xsi:type="dcterms:W3CDTF">2025-04-16T06:33:00Z</dcterms:created>
  <dcterms:modified xsi:type="dcterms:W3CDTF">2025-04-16T06:33:00Z</dcterms:modified>
</cp:coreProperties>
</file>